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8F49" w14:textId="0D130800" w:rsidR="000D659C" w:rsidRPr="005F62C2" w:rsidRDefault="005F62C2" w:rsidP="005F62C2">
      <w:pPr>
        <w:pStyle w:val="BodyText"/>
        <w:ind w:left="1710"/>
        <w:rPr>
          <w:b/>
          <w:bCs/>
          <w:sz w:val="36"/>
          <w:szCs w:val="36"/>
        </w:rPr>
      </w:pPr>
      <w:r w:rsidRPr="005F62C2">
        <w:rPr>
          <w:b/>
          <w:bCs/>
          <w:noProof/>
        </w:rPr>
        <w:drawing>
          <wp:anchor distT="0" distB="0" distL="0" distR="0" simplePos="0" relativeHeight="15728640" behindDoc="0" locked="0" layoutInCell="1" allowOverlap="1" wp14:anchorId="29288F5C" wp14:editId="2F71A9CB">
            <wp:simplePos x="0" y="0"/>
            <wp:positionH relativeFrom="margin">
              <wp:posOffset>-6350</wp:posOffset>
            </wp:positionH>
            <wp:positionV relativeFrom="paragraph">
              <wp:posOffset>-171450</wp:posOffset>
            </wp:positionV>
            <wp:extent cx="1022350" cy="819150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Blank_Page"/>
      <w:bookmarkEnd w:id="0"/>
      <w:r w:rsidRPr="005F62C2">
        <w:rPr>
          <w:b/>
          <w:bCs/>
          <w:color w:val="003851"/>
          <w:sz w:val="36"/>
          <w:szCs w:val="36"/>
        </w:rPr>
        <w:t xml:space="preserve">Expression of Interest </w:t>
      </w:r>
      <w:r w:rsidRPr="005F62C2">
        <w:rPr>
          <w:b/>
          <w:bCs/>
          <w:color w:val="003851"/>
          <w:spacing w:val="-10"/>
          <w:sz w:val="36"/>
          <w:szCs w:val="36"/>
        </w:rPr>
        <w:t>-</w:t>
      </w:r>
    </w:p>
    <w:p w14:paraId="29288F4A" w14:textId="527642FC" w:rsidR="000D659C" w:rsidRPr="005F62C2" w:rsidRDefault="005F62C2" w:rsidP="005F62C2">
      <w:pPr>
        <w:pStyle w:val="Title"/>
        <w:ind w:left="1710"/>
        <w:rPr>
          <w:sz w:val="36"/>
          <w:szCs w:val="36"/>
        </w:rPr>
      </w:pPr>
      <w:r w:rsidRPr="005F62C2">
        <w:rPr>
          <w:color w:val="003851"/>
          <w:sz w:val="36"/>
          <w:szCs w:val="36"/>
        </w:rPr>
        <w:t>World</w:t>
      </w:r>
      <w:r w:rsidRPr="005F62C2">
        <w:rPr>
          <w:color w:val="003851"/>
          <w:spacing w:val="-3"/>
          <w:sz w:val="36"/>
          <w:szCs w:val="36"/>
        </w:rPr>
        <w:t xml:space="preserve"> </w:t>
      </w:r>
      <w:r w:rsidRPr="005F62C2">
        <w:rPr>
          <w:color w:val="003851"/>
          <w:sz w:val="36"/>
          <w:szCs w:val="36"/>
        </w:rPr>
        <w:t>Plumbing</w:t>
      </w:r>
      <w:r w:rsidRPr="005F62C2">
        <w:rPr>
          <w:color w:val="003851"/>
          <w:spacing w:val="-3"/>
          <w:sz w:val="36"/>
          <w:szCs w:val="36"/>
        </w:rPr>
        <w:t xml:space="preserve"> </w:t>
      </w:r>
      <w:r w:rsidRPr="005F62C2">
        <w:rPr>
          <w:color w:val="003851"/>
          <w:sz w:val="36"/>
          <w:szCs w:val="36"/>
        </w:rPr>
        <w:t>Conference</w:t>
      </w:r>
      <w:r w:rsidRPr="005F62C2">
        <w:rPr>
          <w:color w:val="003851"/>
          <w:spacing w:val="-3"/>
          <w:sz w:val="36"/>
          <w:szCs w:val="36"/>
        </w:rPr>
        <w:t xml:space="preserve"> </w:t>
      </w:r>
      <w:r w:rsidRPr="005F62C2">
        <w:rPr>
          <w:color w:val="003851"/>
          <w:spacing w:val="-4"/>
          <w:sz w:val="36"/>
          <w:szCs w:val="36"/>
        </w:rPr>
        <w:t>2029</w:t>
      </w:r>
    </w:p>
    <w:p w14:paraId="29288F4B" w14:textId="77777777" w:rsidR="000D659C" w:rsidRDefault="000D659C" w:rsidP="005F62C2">
      <w:pPr>
        <w:pStyle w:val="BodyText"/>
        <w:rPr>
          <w:b/>
        </w:rPr>
      </w:pPr>
    </w:p>
    <w:p w14:paraId="29288F4D" w14:textId="386E6E5E" w:rsidR="000D659C" w:rsidRDefault="005F62C2" w:rsidP="005F62C2">
      <w:pPr>
        <w:pStyle w:val="BodyText"/>
      </w:pPr>
      <w:r>
        <w:rPr>
          <w:color w:val="003851"/>
        </w:rPr>
        <w:t>The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WPC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is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seeking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expressions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of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interest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from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Full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Member</w:t>
      </w:r>
      <w:r>
        <w:rPr>
          <w:color w:val="003851"/>
          <w:spacing w:val="-4"/>
        </w:rPr>
        <w:t xml:space="preserve"> </w:t>
      </w:r>
      <w:proofErr w:type="spellStart"/>
      <w:r>
        <w:rPr>
          <w:color w:val="003851"/>
        </w:rPr>
        <w:t>organisations</w:t>
      </w:r>
      <w:proofErr w:type="spellEnd"/>
      <w:r>
        <w:rPr>
          <w:color w:val="003851"/>
        </w:rPr>
        <w:t xml:space="preserve"> interested in being the local host for the World Plumbing Conference 2029 (WPC 2029).</w:t>
      </w:r>
    </w:p>
    <w:p w14:paraId="29288F4E" w14:textId="77777777" w:rsidR="000D659C" w:rsidRDefault="000D659C" w:rsidP="005F62C2">
      <w:pPr>
        <w:pStyle w:val="BodyText"/>
      </w:pPr>
    </w:p>
    <w:p w14:paraId="29288F4F" w14:textId="5A6DEE5B" w:rsidR="000D659C" w:rsidRDefault="005F62C2" w:rsidP="005F62C2">
      <w:pPr>
        <w:pStyle w:val="BodyText"/>
      </w:pPr>
      <w:r>
        <w:rPr>
          <w:color w:val="003851"/>
        </w:rPr>
        <w:t>WPC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2029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will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be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the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15</w:t>
      </w:r>
      <w:r w:rsidRPr="005F62C2">
        <w:rPr>
          <w:color w:val="003851"/>
          <w:vertAlign w:val="superscript"/>
        </w:rPr>
        <w:t>th</w:t>
      </w:r>
      <w:r>
        <w:rPr>
          <w:color w:val="003851"/>
        </w:rPr>
        <w:t xml:space="preserve"> triennial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World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Plumbing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Conference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following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WPC 2026 which will be held in Birmingham, England hosted by the Chartered Institute of Plumbing and Heating Engineering (CIPHE).</w:t>
      </w:r>
    </w:p>
    <w:p w14:paraId="29288F50" w14:textId="77777777" w:rsidR="000D659C" w:rsidRDefault="000D659C" w:rsidP="005F62C2">
      <w:pPr>
        <w:pStyle w:val="BodyText"/>
      </w:pPr>
    </w:p>
    <w:p w14:paraId="29288F51" w14:textId="1CFFD5F2" w:rsidR="000D659C" w:rsidRDefault="005F62C2" w:rsidP="005F62C2">
      <w:pPr>
        <w:pStyle w:val="BodyText"/>
      </w:pPr>
      <w:r>
        <w:rPr>
          <w:color w:val="003851"/>
        </w:rPr>
        <w:t>This form is to seek Expressions of Interest only. Following this period, a representative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from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the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WPC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will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make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contact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regarding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the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next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>steps</w:t>
      </w:r>
      <w:r>
        <w:rPr>
          <w:color w:val="003851"/>
          <w:spacing w:val="-4"/>
        </w:rPr>
        <w:t xml:space="preserve"> </w:t>
      </w:r>
      <w:r>
        <w:rPr>
          <w:color w:val="003851"/>
        </w:rPr>
        <w:t xml:space="preserve">which will include preparing a formal Bid for WPC 2029. The Bid is made by representatives of your </w:t>
      </w:r>
      <w:proofErr w:type="spellStart"/>
      <w:r>
        <w:rPr>
          <w:color w:val="003851"/>
        </w:rPr>
        <w:t>organisation</w:t>
      </w:r>
      <w:proofErr w:type="spellEnd"/>
      <w:r>
        <w:rPr>
          <w:color w:val="003851"/>
        </w:rPr>
        <w:t xml:space="preserve"> to the WPC Executive Board.</w:t>
      </w:r>
    </w:p>
    <w:p w14:paraId="29288F52" w14:textId="77777777" w:rsidR="000D659C" w:rsidRPr="005F62C2" w:rsidRDefault="000D659C" w:rsidP="005F62C2">
      <w:pPr>
        <w:pStyle w:val="BodyText"/>
      </w:pPr>
    </w:p>
    <w:p w14:paraId="29288F53" w14:textId="77777777" w:rsidR="000D659C" w:rsidRPr="005F62C2" w:rsidRDefault="005F62C2" w:rsidP="005F62C2">
      <w:pPr>
        <w:rPr>
          <w:sz w:val="28"/>
          <w:szCs w:val="28"/>
        </w:rPr>
      </w:pPr>
      <w:proofErr w:type="spellStart"/>
      <w:r w:rsidRPr="005F62C2">
        <w:rPr>
          <w:color w:val="003851"/>
          <w:spacing w:val="-2"/>
          <w:sz w:val="28"/>
          <w:szCs w:val="28"/>
        </w:rPr>
        <w:t>Organisation</w:t>
      </w:r>
      <w:proofErr w:type="spellEnd"/>
      <w:r w:rsidRPr="005F62C2">
        <w:rPr>
          <w:color w:val="003851"/>
          <w:spacing w:val="-2"/>
          <w:sz w:val="28"/>
          <w:szCs w:val="28"/>
        </w:rPr>
        <w:t>:</w:t>
      </w:r>
    </w:p>
    <w:p w14:paraId="29288F54" w14:textId="77777777" w:rsidR="000D659C" w:rsidRPr="005F62C2" w:rsidRDefault="000D659C" w:rsidP="005F62C2">
      <w:pPr>
        <w:pStyle w:val="BodyText"/>
      </w:pPr>
    </w:p>
    <w:p w14:paraId="29288F55" w14:textId="77777777" w:rsidR="000D659C" w:rsidRPr="005F62C2" w:rsidRDefault="005F62C2" w:rsidP="005F62C2">
      <w:pPr>
        <w:rPr>
          <w:sz w:val="28"/>
          <w:szCs w:val="28"/>
        </w:rPr>
      </w:pPr>
      <w:r w:rsidRPr="005F62C2">
        <w:rPr>
          <w:color w:val="003851"/>
          <w:sz w:val="28"/>
          <w:szCs w:val="28"/>
        </w:rPr>
        <w:t>Name</w:t>
      </w:r>
      <w:r w:rsidRPr="005F62C2">
        <w:rPr>
          <w:color w:val="003851"/>
          <w:spacing w:val="-4"/>
          <w:sz w:val="28"/>
          <w:szCs w:val="28"/>
        </w:rPr>
        <w:t xml:space="preserve"> </w:t>
      </w:r>
      <w:r w:rsidRPr="005F62C2">
        <w:rPr>
          <w:color w:val="003851"/>
          <w:sz w:val="28"/>
          <w:szCs w:val="28"/>
        </w:rPr>
        <w:t>of</w:t>
      </w:r>
      <w:r w:rsidRPr="005F62C2">
        <w:rPr>
          <w:color w:val="003851"/>
          <w:spacing w:val="-1"/>
          <w:sz w:val="28"/>
          <w:szCs w:val="28"/>
        </w:rPr>
        <w:t xml:space="preserve"> </w:t>
      </w:r>
      <w:r w:rsidRPr="005F62C2">
        <w:rPr>
          <w:color w:val="003851"/>
          <w:spacing w:val="-2"/>
          <w:sz w:val="28"/>
          <w:szCs w:val="28"/>
        </w:rPr>
        <w:t>Contact:</w:t>
      </w:r>
    </w:p>
    <w:p w14:paraId="29288F56" w14:textId="77777777" w:rsidR="000D659C" w:rsidRPr="005F62C2" w:rsidRDefault="000D659C" w:rsidP="005F62C2">
      <w:pPr>
        <w:pStyle w:val="BodyText"/>
      </w:pPr>
    </w:p>
    <w:p w14:paraId="29288F57" w14:textId="77777777" w:rsidR="000D659C" w:rsidRPr="005F62C2" w:rsidRDefault="005F62C2" w:rsidP="005F62C2">
      <w:pPr>
        <w:rPr>
          <w:sz w:val="28"/>
          <w:szCs w:val="28"/>
        </w:rPr>
      </w:pPr>
      <w:r w:rsidRPr="005F62C2">
        <w:rPr>
          <w:color w:val="003851"/>
          <w:sz w:val="28"/>
          <w:szCs w:val="28"/>
        </w:rPr>
        <w:t>Email</w:t>
      </w:r>
      <w:r w:rsidRPr="005F62C2">
        <w:rPr>
          <w:color w:val="003851"/>
          <w:spacing w:val="-4"/>
          <w:sz w:val="28"/>
          <w:szCs w:val="28"/>
        </w:rPr>
        <w:t xml:space="preserve"> </w:t>
      </w:r>
      <w:r w:rsidRPr="005F62C2">
        <w:rPr>
          <w:color w:val="003851"/>
          <w:spacing w:val="-2"/>
          <w:sz w:val="28"/>
          <w:szCs w:val="28"/>
        </w:rPr>
        <w:t>address:</w:t>
      </w:r>
    </w:p>
    <w:p w14:paraId="29288F58" w14:textId="77777777" w:rsidR="000D659C" w:rsidRPr="005F62C2" w:rsidRDefault="000D659C" w:rsidP="005F62C2">
      <w:pPr>
        <w:pStyle w:val="BodyText"/>
      </w:pPr>
    </w:p>
    <w:p w14:paraId="29288F59" w14:textId="77777777" w:rsidR="000D659C" w:rsidRPr="005F62C2" w:rsidRDefault="005F62C2" w:rsidP="005F62C2">
      <w:pPr>
        <w:rPr>
          <w:sz w:val="28"/>
          <w:szCs w:val="28"/>
        </w:rPr>
      </w:pPr>
      <w:r w:rsidRPr="005F62C2">
        <w:rPr>
          <w:color w:val="003851"/>
          <w:sz w:val="28"/>
          <w:szCs w:val="28"/>
        </w:rPr>
        <w:t>Phone</w:t>
      </w:r>
      <w:r w:rsidRPr="005F62C2">
        <w:rPr>
          <w:color w:val="003851"/>
          <w:spacing w:val="-4"/>
          <w:sz w:val="28"/>
          <w:szCs w:val="28"/>
        </w:rPr>
        <w:t xml:space="preserve"> </w:t>
      </w:r>
      <w:r w:rsidRPr="005F62C2">
        <w:rPr>
          <w:color w:val="003851"/>
          <w:spacing w:val="-2"/>
          <w:sz w:val="28"/>
          <w:szCs w:val="28"/>
        </w:rPr>
        <w:t>number:</w:t>
      </w:r>
    </w:p>
    <w:p w14:paraId="29288F5A" w14:textId="77777777" w:rsidR="000D659C" w:rsidRPr="005F62C2" w:rsidRDefault="000D659C" w:rsidP="005F62C2">
      <w:pPr>
        <w:pStyle w:val="BodyText"/>
      </w:pPr>
    </w:p>
    <w:p w14:paraId="29288F5B" w14:textId="521615D5" w:rsidR="000D659C" w:rsidRPr="005F62C2" w:rsidRDefault="005F62C2" w:rsidP="005F62C2">
      <w:pPr>
        <w:pStyle w:val="BodyText"/>
      </w:pPr>
      <w:r w:rsidRPr="005F62C2">
        <w:rPr>
          <w:color w:val="003851"/>
        </w:rPr>
        <w:t>Brief</w:t>
      </w:r>
      <w:r w:rsidRPr="005F62C2">
        <w:rPr>
          <w:color w:val="003851"/>
          <w:spacing w:val="-6"/>
        </w:rPr>
        <w:t xml:space="preserve"> </w:t>
      </w:r>
      <w:r w:rsidRPr="005F62C2">
        <w:rPr>
          <w:color w:val="003851"/>
        </w:rPr>
        <w:t>outline</w:t>
      </w:r>
      <w:r w:rsidRPr="005F62C2">
        <w:rPr>
          <w:color w:val="003851"/>
          <w:spacing w:val="-3"/>
        </w:rPr>
        <w:t xml:space="preserve"> </w:t>
      </w:r>
      <w:r w:rsidRPr="005F62C2">
        <w:rPr>
          <w:color w:val="003851"/>
        </w:rPr>
        <w:t>of</w:t>
      </w:r>
      <w:r w:rsidRPr="005F62C2">
        <w:rPr>
          <w:color w:val="003851"/>
          <w:spacing w:val="-3"/>
        </w:rPr>
        <w:t xml:space="preserve"> </w:t>
      </w:r>
      <w:r w:rsidRPr="005F62C2">
        <w:rPr>
          <w:color w:val="003851"/>
        </w:rPr>
        <w:t>why</w:t>
      </w:r>
      <w:r w:rsidRPr="005F62C2">
        <w:rPr>
          <w:color w:val="003851"/>
          <w:spacing w:val="-3"/>
        </w:rPr>
        <w:t xml:space="preserve"> </w:t>
      </w:r>
      <w:r w:rsidRPr="005F62C2">
        <w:rPr>
          <w:color w:val="003851"/>
        </w:rPr>
        <w:t>your</w:t>
      </w:r>
      <w:r w:rsidRPr="005F62C2">
        <w:rPr>
          <w:color w:val="003851"/>
          <w:spacing w:val="-3"/>
        </w:rPr>
        <w:t xml:space="preserve"> </w:t>
      </w:r>
      <w:proofErr w:type="spellStart"/>
      <w:r w:rsidRPr="005F62C2">
        <w:rPr>
          <w:color w:val="003851"/>
        </w:rPr>
        <w:t>organisation</w:t>
      </w:r>
      <w:proofErr w:type="spellEnd"/>
      <w:r w:rsidRPr="005F62C2">
        <w:rPr>
          <w:color w:val="003851"/>
          <w:spacing w:val="-4"/>
        </w:rPr>
        <w:t xml:space="preserve"> </w:t>
      </w:r>
      <w:r w:rsidRPr="005F62C2">
        <w:rPr>
          <w:color w:val="003851"/>
        </w:rPr>
        <w:t>is</w:t>
      </w:r>
      <w:r w:rsidRPr="005F62C2">
        <w:rPr>
          <w:color w:val="003851"/>
          <w:spacing w:val="-3"/>
        </w:rPr>
        <w:t xml:space="preserve"> </w:t>
      </w:r>
      <w:r w:rsidRPr="005F62C2">
        <w:rPr>
          <w:color w:val="003851"/>
        </w:rPr>
        <w:t>interested</w:t>
      </w:r>
      <w:r w:rsidRPr="005F62C2">
        <w:rPr>
          <w:color w:val="003851"/>
          <w:spacing w:val="-3"/>
        </w:rPr>
        <w:t xml:space="preserve"> </w:t>
      </w:r>
      <w:r w:rsidRPr="005F62C2">
        <w:rPr>
          <w:color w:val="003851"/>
        </w:rPr>
        <w:t>in</w:t>
      </w:r>
      <w:r w:rsidRPr="005F62C2">
        <w:rPr>
          <w:color w:val="003851"/>
          <w:spacing w:val="-3"/>
        </w:rPr>
        <w:t xml:space="preserve"> </w:t>
      </w:r>
      <w:r w:rsidRPr="005F62C2">
        <w:rPr>
          <w:color w:val="003851"/>
        </w:rPr>
        <w:t>hosting</w:t>
      </w:r>
      <w:r w:rsidRPr="005F62C2">
        <w:rPr>
          <w:color w:val="003851"/>
          <w:spacing w:val="-3"/>
        </w:rPr>
        <w:t xml:space="preserve"> </w:t>
      </w:r>
      <w:r w:rsidRPr="005F62C2">
        <w:rPr>
          <w:color w:val="003851"/>
        </w:rPr>
        <w:t>WPC</w:t>
      </w:r>
      <w:r w:rsidRPr="005F62C2">
        <w:rPr>
          <w:color w:val="003851"/>
          <w:spacing w:val="-3"/>
        </w:rPr>
        <w:t xml:space="preserve"> </w:t>
      </w:r>
      <w:r w:rsidRPr="005F62C2">
        <w:rPr>
          <w:color w:val="003851"/>
          <w:spacing w:val="-2"/>
        </w:rPr>
        <w:t>2029:</w:t>
      </w:r>
    </w:p>
    <w:sectPr w:rsidR="000D659C" w:rsidRPr="005F62C2" w:rsidSect="005F62C2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6592" w14:textId="77777777" w:rsidR="002536A0" w:rsidRDefault="002536A0" w:rsidP="005F62C2">
      <w:r>
        <w:separator/>
      </w:r>
    </w:p>
  </w:endnote>
  <w:endnote w:type="continuationSeparator" w:id="0">
    <w:p w14:paraId="39A2BF51" w14:textId="77777777" w:rsidR="002536A0" w:rsidRDefault="002536A0" w:rsidP="005F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7766" w14:textId="77777777" w:rsidR="0047320D" w:rsidRPr="0047320D" w:rsidRDefault="0047320D" w:rsidP="0047320D">
    <w:pPr>
      <w:pStyle w:val="NormalWeb"/>
      <w:pBdr>
        <w:top w:val="single" w:sz="4" w:space="1" w:color="auto"/>
      </w:pBdr>
      <w:spacing w:before="0" w:beforeAutospacing="0" w:after="0" w:afterAutospacing="0"/>
      <w:ind w:left="-360" w:right="-360"/>
      <w:rPr>
        <w:rFonts w:ascii="Calibri" w:hAnsi="Calibri" w:cs="Calibri"/>
        <w:i/>
        <w:iCs/>
        <w:color w:val="000000"/>
        <w:sz w:val="6"/>
        <w:szCs w:val="6"/>
      </w:rPr>
    </w:pPr>
  </w:p>
  <w:p w14:paraId="1BDE2645" w14:textId="06CCF638" w:rsidR="005F62C2" w:rsidRPr="005F62C2" w:rsidRDefault="005F62C2" w:rsidP="0047320D">
    <w:pPr>
      <w:pStyle w:val="NormalWeb"/>
      <w:spacing w:before="0" w:beforeAutospacing="0" w:after="120" w:afterAutospacing="0"/>
      <w:ind w:right="-360"/>
      <w:rPr>
        <w:rFonts w:ascii="Calibri" w:hAnsi="Calibri" w:cs="Calibri"/>
        <w:i/>
        <w:iCs/>
        <w:color w:val="000000"/>
        <w:sz w:val="20"/>
        <w:szCs w:val="20"/>
      </w:rPr>
    </w:pPr>
    <w:r w:rsidRPr="005F62C2">
      <w:rPr>
        <w:rFonts w:ascii="Calibri" w:hAnsi="Calibri" w:cs="Calibri"/>
        <w:i/>
        <w:iCs/>
        <w:color w:val="000000"/>
        <w:sz w:val="20"/>
        <w:szCs w:val="20"/>
      </w:rPr>
      <w:t>In accordance with the WPC Guidelines for Holding World Plumbing Conferences, eligibility</w:t>
    </w:r>
    <w:r w:rsidRPr="005F62C2">
      <w:rPr>
        <w:rStyle w:val="apple-converted-space"/>
        <w:rFonts w:ascii="Calibri" w:hAnsi="Calibri" w:cs="Calibri"/>
        <w:i/>
        <w:iCs/>
        <w:color w:val="000000"/>
        <w:sz w:val="20"/>
        <w:szCs w:val="20"/>
      </w:rPr>
      <w:t> to bid is as follows:</w:t>
    </w:r>
  </w:p>
  <w:p w14:paraId="346EE91A" w14:textId="77777777" w:rsidR="005F62C2" w:rsidRPr="005F62C2" w:rsidRDefault="005F62C2" w:rsidP="005F62C2">
    <w:pPr>
      <w:pStyle w:val="NormalWeb"/>
      <w:spacing w:before="0" w:beforeAutospacing="0" w:after="120" w:afterAutospacing="0"/>
      <w:rPr>
        <w:rFonts w:ascii="Calibri" w:hAnsi="Calibri" w:cs="Calibri"/>
        <w:i/>
        <w:iCs/>
        <w:color w:val="000000"/>
        <w:sz w:val="20"/>
        <w:szCs w:val="20"/>
      </w:rPr>
    </w:pPr>
    <w:r w:rsidRPr="005F62C2">
      <w:rPr>
        <w:rFonts w:ascii="Calibri" w:hAnsi="Calibri" w:cs="Calibri"/>
        <w:i/>
        <w:iCs/>
        <w:color w:val="000000"/>
        <w:sz w:val="20"/>
        <w:szCs w:val="20"/>
      </w:rPr>
      <w:t>(</w:t>
    </w:r>
    <w:proofErr w:type="gramStart"/>
    <w:r w:rsidRPr="005F62C2">
      <w:rPr>
        <w:rFonts w:ascii="Calibri" w:hAnsi="Calibri" w:cs="Calibri"/>
        <w:i/>
        <w:iCs/>
        <w:color w:val="000000"/>
        <w:sz w:val="20"/>
        <w:szCs w:val="20"/>
      </w:rPr>
      <w:t>i )</w:t>
    </w:r>
    <w:proofErr w:type="gramEnd"/>
    <w:r w:rsidRPr="005F62C2">
      <w:rPr>
        <w:rFonts w:ascii="Calibri" w:hAnsi="Calibri" w:cs="Calibri"/>
        <w:i/>
        <w:iCs/>
        <w:color w:val="000000"/>
        <w:sz w:val="20"/>
        <w:szCs w:val="20"/>
      </w:rPr>
      <w:t xml:space="preserve"> The formal application to host a conference must come from one or more properly constituted and representative plumbing </w:t>
    </w:r>
    <w:proofErr w:type="spellStart"/>
    <w:r w:rsidRPr="005F62C2">
      <w:rPr>
        <w:rFonts w:ascii="Calibri" w:hAnsi="Calibri" w:cs="Calibri"/>
        <w:i/>
        <w:iCs/>
        <w:color w:val="000000"/>
        <w:sz w:val="20"/>
        <w:szCs w:val="20"/>
      </w:rPr>
      <w:t>organisations</w:t>
    </w:r>
    <w:proofErr w:type="spellEnd"/>
    <w:r w:rsidRPr="005F62C2">
      <w:rPr>
        <w:rFonts w:ascii="Calibri" w:hAnsi="Calibri" w:cs="Calibri"/>
        <w:i/>
        <w:iCs/>
        <w:color w:val="000000"/>
        <w:sz w:val="20"/>
        <w:szCs w:val="20"/>
      </w:rPr>
      <w:t xml:space="preserve"> within that country.</w:t>
    </w:r>
    <w:r w:rsidRPr="005F62C2">
      <w:rPr>
        <w:rStyle w:val="apple-converted-space"/>
        <w:rFonts w:ascii="Calibri" w:hAnsi="Calibri" w:cs="Calibri"/>
        <w:i/>
        <w:iCs/>
        <w:color w:val="000000"/>
        <w:sz w:val="20"/>
        <w:szCs w:val="20"/>
      </w:rPr>
      <w:t> </w:t>
    </w:r>
  </w:p>
  <w:p w14:paraId="2EB1C202" w14:textId="1FACF1BB" w:rsidR="005F62C2" w:rsidRPr="005F62C2" w:rsidRDefault="005F62C2" w:rsidP="005F62C2">
    <w:pPr>
      <w:pStyle w:val="NormalWeb"/>
      <w:spacing w:before="0" w:beforeAutospacing="0" w:after="120" w:afterAutospacing="0"/>
      <w:rPr>
        <w:rFonts w:ascii="Calibri" w:hAnsi="Calibri" w:cs="Calibri"/>
        <w:i/>
        <w:iCs/>
        <w:color w:val="000000"/>
        <w:sz w:val="20"/>
        <w:szCs w:val="20"/>
      </w:rPr>
    </w:pPr>
    <w:r w:rsidRPr="005F62C2">
      <w:rPr>
        <w:rFonts w:ascii="Calibri" w:hAnsi="Calibri" w:cs="Calibri"/>
        <w:i/>
        <w:iCs/>
        <w:color w:val="000000"/>
        <w:sz w:val="20"/>
        <w:szCs w:val="20"/>
      </w:rPr>
      <w:t xml:space="preserve">(ii) An </w:t>
    </w:r>
    <w:proofErr w:type="spellStart"/>
    <w:r w:rsidRPr="005F62C2">
      <w:rPr>
        <w:rFonts w:ascii="Calibri" w:hAnsi="Calibri" w:cs="Calibri"/>
        <w:i/>
        <w:iCs/>
        <w:color w:val="000000"/>
        <w:sz w:val="20"/>
        <w:szCs w:val="20"/>
      </w:rPr>
      <w:t>organisation</w:t>
    </w:r>
    <w:proofErr w:type="spellEnd"/>
    <w:r w:rsidRPr="005F62C2">
      <w:rPr>
        <w:rFonts w:ascii="Calibri" w:hAnsi="Calibri" w:cs="Calibri"/>
        <w:i/>
        <w:iCs/>
        <w:color w:val="000000"/>
        <w:sz w:val="20"/>
        <w:szCs w:val="20"/>
      </w:rPr>
      <w:t xml:space="preserve"> wishing to host a conference must have been a </w:t>
    </w:r>
    <w:proofErr w:type="gramStart"/>
    <w:r w:rsidRPr="005F62C2">
      <w:rPr>
        <w:rFonts w:ascii="Calibri" w:hAnsi="Calibri" w:cs="Calibri"/>
        <w:i/>
        <w:iCs/>
        <w:color w:val="000000"/>
        <w:sz w:val="20"/>
        <w:szCs w:val="20"/>
      </w:rPr>
      <w:t>paid up</w:t>
    </w:r>
    <w:proofErr w:type="gramEnd"/>
    <w:r w:rsidRPr="005F62C2">
      <w:rPr>
        <w:rFonts w:ascii="Calibri" w:hAnsi="Calibri" w:cs="Calibri"/>
        <w:i/>
        <w:iCs/>
        <w:color w:val="000000"/>
        <w:sz w:val="20"/>
        <w:szCs w:val="20"/>
      </w:rPr>
      <w:t xml:space="preserve"> full member of the Council for at least two years before being eligible to bid. Where a bid is submitted on behalf of </w:t>
    </w:r>
    <w:proofErr w:type="gramStart"/>
    <w:r w:rsidRPr="005F62C2">
      <w:rPr>
        <w:rFonts w:ascii="Calibri" w:hAnsi="Calibri" w:cs="Calibri"/>
        <w:i/>
        <w:iCs/>
        <w:color w:val="000000"/>
        <w:sz w:val="20"/>
        <w:szCs w:val="20"/>
      </w:rPr>
      <w:t>a number of</w:t>
    </w:r>
    <w:proofErr w:type="gramEnd"/>
    <w:r w:rsidRPr="005F62C2">
      <w:rPr>
        <w:rFonts w:ascii="Calibri" w:hAnsi="Calibri" w:cs="Calibri"/>
        <w:i/>
        <w:iCs/>
        <w:color w:val="000000"/>
        <w:sz w:val="20"/>
        <w:szCs w:val="20"/>
      </w:rPr>
      <w:t xml:space="preserve"> </w:t>
    </w:r>
    <w:proofErr w:type="spellStart"/>
    <w:r w:rsidRPr="005F62C2">
      <w:rPr>
        <w:rFonts w:ascii="Calibri" w:hAnsi="Calibri" w:cs="Calibri"/>
        <w:i/>
        <w:iCs/>
        <w:color w:val="000000"/>
        <w:sz w:val="20"/>
        <w:szCs w:val="20"/>
      </w:rPr>
      <w:t>organisations</w:t>
    </w:r>
    <w:proofErr w:type="spellEnd"/>
    <w:r w:rsidRPr="005F62C2">
      <w:rPr>
        <w:rFonts w:ascii="Calibri" w:hAnsi="Calibri" w:cs="Calibri"/>
        <w:i/>
        <w:iCs/>
        <w:color w:val="000000"/>
        <w:sz w:val="20"/>
        <w:szCs w:val="20"/>
      </w:rPr>
      <w:t xml:space="preserve">, at least one of these </w:t>
    </w:r>
    <w:proofErr w:type="spellStart"/>
    <w:r w:rsidRPr="005F62C2">
      <w:rPr>
        <w:rFonts w:ascii="Calibri" w:hAnsi="Calibri" w:cs="Calibri"/>
        <w:i/>
        <w:iCs/>
        <w:color w:val="000000"/>
        <w:sz w:val="20"/>
        <w:szCs w:val="20"/>
      </w:rPr>
      <w:t>organisations</w:t>
    </w:r>
    <w:proofErr w:type="spellEnd"/>
    <w:r w:rsidRPr="005F62C2">
      <w:rPr>
        <w:rFonts w:ascii="Calibri" w:hAnsi="Calibri" w:cs="Calibri"/>
        <w:i/>
        <w:iCs/>
        <w:color w:val="000000"/>
        <w:sz w:val="20"/>
        <w:szCs w:val="20"/>
      </w:rPr>
      <w:t xml:space="preserve"> must meet this requirement and all others must be either full or affiliate members of the Council at the time of the bid presentation.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47F5" w14:textId="77777777" w:rsidR="002536A0" w:rsidRDefault="002536A0" w:rsidP="005F62C2">
      <w:r>
        <w:separator/>
      </w:r>
    </w:p>
  </w:footnote>
  <w:footnote w:type="continuationSeparator" w:id="0">
    <w:p w14:paraId="278AD45A" w14:textId="77777777" w:rsidR="002536A0" w:rsidRDefault="002536A0" w:rsidP="005F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9C"/>
    <w:rsid w:val="000D659C"/>
    <w:rsid w:val="002536A0"/>
    <w:rsid w:val="0047320D"/>
    <w:rsid w:val="005F62C2"/>
    <w:rsid w:val="00A752BB"/>
    <w:rsid w:val="00DD13B3"/>
    <w:rsid w:val="00F4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88F48"/>
  <w15:docId w15:val="{5A334CBF-A3C9-46CA-8E73-D3027659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072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6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2C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6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C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5F62C2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customStyle="1" w:styleId="apple-converted-space">
    <w:name w:val="apple-converted-space"/>
    <w:basedOn w:val="DefaultParagraphFont"/>
    <w:rsid w:val="005F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707</Characters>
  <Application>Microsoft Office Word</Application>
  <DocSecurity>0</DocSecurity>
  <Lines>25</Lines>
  <Paragraphs>10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Gallegos</dc:creator>
  <cp:lastModifiedBy>Leticia Gallegos</cp:lastModifiedBy>
  <cp:revision>4</cp:revision>
  <dcterms:created xsi:type="dcterms:W3CDTF">2024-02-20T14:49:00Z</dcterms:created>
  <dcterms:modified xsi:type="dcterms:W3CDTF">2024-02-20T19:52:00Z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Adobe Acrobat Pro DC 19.21.20048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Acrobat Pro DC 19.21.20048</vt:lpwstr>
  </property>
  <property fmtid="{D5CDD505-2E9C-101B-9397-08002B2CF9AE}" pid="6" name="GrammarlyDocumentId">
    <vt:lpwstr>989d2e79cbfbf6c669f3b8e8c26a12c4e445e565e9a6bc12c89aa0ad13cbba80</vt:lpwstr>
  </property>
</Properties>
</file>